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IN"/>
        </w:rPr>
        <w:t xml:space="preserve">Regular Course in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Folklore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IN"/>
        </w:rPr>
        <w:t xml:space="preserve"> ( CBCS)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I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en-I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en-IN"/>
        </w:rPr>
        <w:t>SEMESTER-I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en-IN"/>
        </w:rPr>
      </w:pPr>
    </w:p>
    <w:tbl>
      <w:tblPr>
        <w:tblStyle w:val="111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828"/>
        <w:gridCol w:w="4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282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482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none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DSC-1 A</w:t>
            </w:r>
          </w:p>
        </w:tc>
        <w:tc>
          <w:tcPr>
            <w:tcW w:w="282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Introduction to Folklore</w:t>
            </w:r>
          </w:p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48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IN"/>
              </w:rPr>
              <w:t xml:space="preserve">This paper will acquaint the students with the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the definition and scope of folklore, Methods of folklore study. This paper will also cover history of folklore studies with special reference to North-East India.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I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SEMESTER-II</w:t>
      </w:r>
    </w:p>
    <w:tbl>
      <w:tblPr>
        <w:tblStyle w:val="111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11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DSC-2 B</w:t>
            </w:r>
          </w:p>
        </w:tc>
        <w:tc>
          <w:tcPr>
            <w:tcW w:w="2811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Folk Literature of Assam: Narrative Genre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48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 xml:space="preserve">It will make the students know about the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folk narratives of Assam. The main focus is on Assamese and tribal language material.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SEMESTER-III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tbl>
      <w:tblPr>
        <w:tblStyle w:val="111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845"/>
        <w:gridCol w:w="4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DSC-1 C</w:t>
            </w:r>
          </w:p>
        </w:tc>
        <w:tc>
          <w:tcPr>
            <w:tcW w:w="28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Material Culture</w:t>
            </w:r>
          </w:p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47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This paper will acquaint students about the core concepts material culture and familiarize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them with items of material culture prevalent in Assam.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SEC-I</w:t>
            </w:r>
          </w:p>
        </w:tc>
        <w:tc>
          <w:tcPr>
            <w:tcW w:w="28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Indigenous Knowledge: Crafts and Artisans of Assam</w:t>
            </w:r>
          </w:p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4776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>It acquaints the students with the d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efinition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>,c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omponents and 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>s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cope indigenous knowledge and also with the Crafts and Artisans of Assam.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SEMESTER-IV</w:t>
      </w:r>
    </w:p>
    <w:tbl>
      <w:tblPr>
        <w:tblStyle w:val="111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45"/>
        <w:gridCol w:w="4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11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DSC-1 D</w:t>
            </w:r>
          </w:p>
        </w:tc>
        <w:tc>
          <w:tcPr>
            <w:tcW w:w="28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Social Folk Customs and Performing Folk Art 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This paper will acquaint students about the core concepts social folk customs and performing folk 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511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SEC-II</w:t>
            </w:r>
          </w:p>
        </w:tc>
        <w:tc>
          <w:tcPr>
            <w:tcW w:w="28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Preservation of Folklore Material: Museum and Archives</w:t>
            </w:r>
          </w:p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4741" w:type="dxa"/>
          </w:tcPr>
          <w:p>
            <w:pPr>
              <w:keepNext w:val="0"/>
              <w:keepLines w:val="0"/>
              <w:widowControl/>
              <w:suppressLineNumbers w:val="0"/>
              <w:ind w:left="117" w:hanging="120" w:hangingChars="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 xml:space="preserve">It acquaints the students with the 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ways and methods of preservation of Folklore.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 xml:space="preserve"> It also tends to make a a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 overview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 xml:space="preserve"> of such ofheritage through f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ield 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>w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ork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 xml:space="preserve"> and v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isit to historical sites, archives and museums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 xml:space="preserve">. 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SEMESTER-V</w:t>
      </w:r>
    </w:p>
    <w:tbl>
      <w:tblPr>
        <w:tblStyle w:val="111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845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SEC-III</w:t>
            </w:r>
          </w:p>
        </w:tc>
        <w:tc>
          <w:tcPr>
            <w:tcW w:w="28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Folklore and Tourism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47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>This paper acquaints the students with i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ndigenous folk systems and use of it generating torism industry and other broader aspects through tourism.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DSC-E A</w:t>
            </w:r>
          </w:p>
        </w:tc>
        <w:tc>
          <w:tcPr>
            <w:tcW w:w="28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Folklore and Fieldwork </w:t>
            </w:r>
          </w:p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bookmarkStart w:id="0" w:name="_GoBack"/>
            <w:bookmarkEnd w:id="0"/>
          </w:p>
        </w:tc>
        <w:tc>
          <w:tcPr>
            <w:tcW w:w="470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>This paper acquaints the students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about the connection between folklore and fieldwork. It will also throw light on the importance of fieldwork for data collection.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GE-1</w:t>
            </w:r>
          </w:p>
        </w:tc>
        <w:tc>
          <w:tcPr>
            <w:tcW w:w="28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IDFon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History of India (From the Earliest to 1206) </w:t>
            </w:r>
          </w:p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4707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IN" w:eastAsia="zh-CN" w:bidi="ar"/>
              </w:rPr>
              <w:t>This paper acquaints the students with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Sources of Ancient Indian History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Rig Vedic age and Post Vedic (Upto 6th Century), Territorial States and Foreign invasions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eastAsia="zh-CN" w:bidi="ar"/>
              </w:rPr>
              <w:t>,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Post Gupta Period: Harsha, 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eastAsia="zh-CN" w:bidi="ar"/>
              </w:rPr>
              <w:t>t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he Cholas, 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eastAsia="zh-CN" w:bidi="ar"/>
              </w:rPr>
              <w:t>t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he Pallavas,  The Chalukyas, The Rajputs, Varvamana dynasty, Salasthambha dynasty, Pala dynasty, etc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</w:p>
    <w:p>
      <w:pPr>
        <w:ind w:left="2880" w:leftChars="0" w:firstLine="7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SEMESTER-VI</w:t>
      </w:r>
    </w:p>
    <w:p>
      <w:pPr>
        <w:ind w:left="2880" w:leftChars="0" w:firstLine="7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111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45"/>
        <w:gridCol w:w="4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DSE 1B</w:t>
            </w:r>
          </w:p>
        </w:tc>
        <w:tc>
          <w:tcPr>
            <w:tcW w:w="2845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IDFon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Project Work </w:t>
            </w:r>
          </w:p>
        </w:tc>
        <w:tc>
          <w:tcPr>
            <w:tcW w:w="475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Students offering this course have to undertake a fieldwork in tribal or non-tribal villages of Bodoland Territorial Region (Assam) on topics suggested by the department. A project report on the work duly forwarded by the concerned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supervisors is to be submitted at the time of examination. Marks will be allotted by an external evaluator on the report and viva-voce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SEC-4</w:t>
            </w:r>
          </w:p>
        </w:tc>
        <w:tc>
          <w:tcPr>
            <w:tcW w:w="28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Creative Writing and Reasoning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widowControl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75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This paper will introduce the students with the various types of creative writing and reasoning so as to get them ready for future career. </w:t>
            </w: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</w:tbl>
    <w:p>
      <w:pPr>
        <w:ind w:left="2880" w:leftChars="0" w:firstLine="7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648D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266551"/>
    <w:rsid w:val="16BE5AB1"/>
    <w:rsid w:val="2127683B"/>
    <w:rsid w:val="270C05A6"/>
    <w:rsid w:val="294B14D7"/>
    <w:rsid w:val="5114609D"/>
    <w:rsid w:val="513A200F"/>
    <w:rsid w:val="6CB3710E"/>
    <w:rsid w:val="7AE7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4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2023-08-09T11:49:00Z</dcterms:created>
  <dc:creator>Kalaguru Bishnu</dc:creator>
  <cp:lastModifiedBy>Kalaguru Bishnu</cp:lastModifiedBy>
  <cp:lastPrinted>2023-08-09T12:04:06Z</cp:lastPrinted>
  <dcterms:modified xsi:type="dcterms:W3CDTF">2023-08-09T12:04:32Z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C211B6197E8945A0800615A8039AECD9_11</vt:lpwstr>
  </property>
</Properties>
</file>